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492" w:rsidRPr="00642A85" w:rsidRDefault="00036492" w:rsidP="00036492">
      <w:pPr>
        <w:tabs>
          <w:tab w:val="left" w:pos="3546"/>
          <w:tab w:val="center" w:pos="4320"/>
        </w:tabs>
        <w:spacing w:line="276" w:lineRule="auto"/>
        <w:jc w:val="center"/>
        <w:rPr>
          <w:b/>
          <w:sz w:val="28"/>
          <w:szCs w:val="28"/>
        </w:rPr>
      </w:pPr>
      <w:r w:rsidRPr="00642A85">
        <w:rPr>
          <w:b/>
          <w:sz w:val="28"/>
          <w:szCs w:val="28"/>
        </w:rPr>
        <w:t>GIẢI THÍCH BIỂU MẪU 2</w:t>
      </w:r>
      <w:r>
        <w:rPr>
          <w:b/>
          <w:sz w:val="28"/>
          <w:szCs w:val="28"/>
        </w:rPr>
        <w:t>3</w:t>
      </w:r>
      <w:r w:rsidRPr="00642A85">
        <w:rPr>
          <w:b/>
          <w:sz w:val="28"/>
          <w:szCs w:val="28"/>
        </w:rPr>
        <w:t>a/BTP/ĐKQGGDBĐ</w:t>
      </w:r>
    </w:p>
    <w:p w:rsidR="00036492" w:rsidRDefault="00036492" w:rsidP="00036492">
      <w:pPr>
        <w:spacing w:line="276" w:lineRule="auto"/>
        <w:jc w:val="center"/>
        <w:rPr>
          <w:b/>
          <w:sz w:val="28"/>
          <w:szCs w:val="28"/>
        </w:rPr>
      </w:pPr>
      <w:r w:rsidRPr="00642A85">
        <w:rPr>
          <w:b/>
          <w:sz w:val="28"/>
          <w:szCs w:val="28"/>
        </w:rPr>
        <w:t xml:space="preserve">Kết quả đăng ký, cung cấp thông tin về giao dịch bảo đảm, hợp đồng, </w:t>
      </w:r>
    </w:p>
    <w:p w:rsidR="00036492" w:rsidRDefault="00036492" w:rsidP="00036492">
      <w:pPr>
        <w:spacing w:line="276" w:lineRule="auto"/>
        <w:jc w:val="center"/>
        <w:rPr>
          <w:b/>
          <w:sz w:val="28"/>
          <w:szCs w:val="28"/>
        </w:rPr>
      </w:pPr>
      <w:r w:rsidRPr="00642A85">
        <w:rPr>
          <w:b/>
          <w:sz w:val="28"/>
          <w:szCs w:val="28"/>
        </w:rPr>
        <w:t>thông báo kê biên tài sản là động sản (trừ tàu bay, tàu biển)</w:t>
      </w:r>
      <w:r>
        <w:rPr>
          <w:b/>
          <w:sz w:val="28"/>
          <w:szCs w:val="28"/>
        </w:rPr>
        <w:t xml:space="preserve"> và kết quả thông báo </w:t>
      </w:r>
    </w:p>
    <w:p w:rsidR="00036492" w:rsidRPr="00642A85" w:rsidRDefault="00036492" w:rsidP="00036492">
      <w:pPr>
        <w:spacing w:line="276" w:lineRule="auto"/>
        <w:jc w:val="center"/>
        <w:rPr>
          <w:b/>
          <w:sz w:val="28"/>
          <w:szCs w:val="28"/>
        </w:rPr>
      </w:pPr>
      <w:r>
        <w:rPr>
          <w:b/>
          <w:sz w:val="28"/>
          <w:szCs w:val="28"/>
        </w:rPr>
        <w:t>về việc thế chấp phương tiện giao thông</w:t>
      </w:r>
    </w:p>
    <w:p w:rsidR="00036492" w:rsidRPr="00642A85" w:rsidRDefault="00036492" w:rsidP="00036492">
      <w:pPr>
        <w:tabs>
          <w:tab w:val="left" w:pos="3546"/>
          <w:tab w:val="center" w:pos="4320"/>
        </w:tabs>
        <w:spacing w:line="276" w:lineRule="auto"/>
        <w:jc w:val="center"/>
        <w:rPr>
          <w:b/>
          <w:sz w:val="28"/>
          <w:szCs w:val="28"/>
        </w:rPr>
      </w:pPr>
    </w:p>
    <w:p w:rsidR="00036492" w:rsidRPr="00642A85" w:rsidRDefault="00036492" w:rsidP="00036492">
      <w:pPr>
        <w:spacing w:before="120" w:after="120" w:line="276" w:lineRule="auto"/>
        <w:ind w:firstLine="567"/>
        <w:jc w:val="both"/>
        <w:rPr>
          <w:b/>
          <w:sz w:val="28"/>
          <w:szCs w:val="28"/>
        </w:rPr>
      </w:pPr>
      <w:r w:rsidRPr="00642A85">
        <w:rPr>
          <w:b/>
          <w:sz w:val="28"/>
          <w:szCs w:val="28"/>
        </w:rPr>
        <w:tab/>
        <w:t>1. Nội dung</w:t>
      </w:r>
    </w:p>
    <w:p w:rsidR="00036492" w:rsidRDefault="00036492" w:rsidP="00036492">
      <w:pPr>
        <w:spacing w:before="120" w:after="120" w:line="276" w:lineRule="auto"/>
        <w:ind w:firstLine="567"/>
        <w:jc w:val="both"/>
        <w:rPr>
          <w:sz w:val="28"/>
          <w:szCs w:val="28"/>
        </w:rPr>
      </w:pPr>
      <w:r w:rsidRPr="00642A85">
        <w:rPr>
          <w:sz w:val="28"/>
          <w:szCs w:val="28"/>
        </w:rPr>
        <w:t>* Phản ánh kết quả đăng ký và cung cấp thông tin về giao dịch bảo đảm, hợp đồng, thông báo kê biên trong kỳ báo cáo tại các Trung tâm Đăng ký giao dịch, tài sản thuộc Cục Đăng ký quốc gia giao dịch bảo đảm, Bộ Tư pháp.</w:t>
      </w:r>
    </w:p>
    <w:p w:rsidR="00036492" w:rsidRDefault="00036492" w:rsidP="00036492">
      <w:pPr>
        <w:spacing w:before="120" w:after="120" w:line="320" w:lineRule="exact"/>
        <w:ind w:firstLine="567"/>
        <w:jc w:val="both"/>
        <w:rPr>
          <w:sz w:val="28"/>
          <w:szCs w:val="28"/>
        </w:rPr>
      </w:pPr>
      <w:r w:rsidRPr="00642A85">
        <w:rPr>
          <w:sz w:val="28"/>
          <w:szCs w:val="28"/>
        </w:rPr>
        <w:t xml:space="preserve">* </w:t>
      </w:r>
      <w:r>
        <w:rPr>
          <w:sz w:val="28"/>
          <w:szCs w:val="28"/>
        </w:rPr>
        <w:t xml:space="preserve">Phản ánh </w:t>
      </w:r>
      <w:r w:rsidRPr="00D25510">
        <w:rPr>
          <w:sz w:val="28"/>
          <w:szCs w:val="28"/>
        </w:rPr>
        <w:t>kết quả thông báo về việc thế chấp phương tiện giao thông và kết quả tiếp nhận giải quyết thông tin về tài sản bảo đảm trong kỳ báo cáo tại các Trung tâm Đăng ký giao dịch, tài sản thuộc Cục Đăng ký quốc gi</w:t>
      </w:r>
      <w:r>
        <w:rPr>
          <w:sz w:val="28"/>
          <w:szCs w:val="28"/>
        </w:rPr>
        <w:t>a giao dịch bảo đảm, Bộ Tư pháp.</w:t>
      </w:r>
    </w:p>
    <w:p w:rsidR="00036492" w:rsidRPr="00D25510" w:rsidRDefault="00036492" w:rsidP="00036492">
      <w:pPr>
        <w:spacing w:before="120" w:after="120" w:line="320" w:lineRule="exact"/>
        <w:ind w:firstLine="567"/>
        <w:jc w:val="both"/>
        <w:rPr>
          <w:sz w:val="28"/>
          <w:szCs w:val="28"/>
        </w:rPr>
      </w:pPr>
      <w:r>
        <w:rPr>
          <w:sz w:val="28"/>
          <w:szCs w:val="28"/>
        </w:rPr>
        <w:t>* Phản ánh</w:t>
      </w:r>
      <w:r w:rsidRPr="00D25510">
        <w:rPr>
          <w:sz w:val="28"/>
          <w:szCs w:val="28"/>
        </w:rPr>
        <w:t xml:space="preserve"> </w:t>
      </w:r>
      <w:r w:rsidRPr="00D25510">
        <w:rPr>
          <w:bCs/>
          <w:sz w:val="28"/>
          <w:szCs w:val="28"/>
        </w:rPr>
        <w:t xml:space="preserve">các </w:t>
      </w:r>
      <w:r w:rsidRPr="00D25510">
        <w:rPr>
          <w:sz w:val="28"/>
          <w:szCs w:val="28"/>
        </w:rPr>
        <w:t>trường hợp không phải nộp lệ phí đăng ký giao dịch bảo đảm.</w:t>
      </w:r>
    </w:p>
    <w:p w:rsidR="00036492" w:rsidRPr="00642A85" w:rsidRDefault="00036492" w:rsidP="00036492">
      <w:pPr>
        <w:spacing w:before="120" w:after="120" w:line="276" w:lineRule="auto"/>
        <w:ind w:firstLine="567"/>
        <w:jc w:val="both"/>
        <w:rPr>
          <w:sz w:val="28"/>
          <w:szCs w:val="28"/>
        </w:rPr>
      </w:pPr>
      <w:r w:rsidRPr="00642A85">
        <w:rPr>
          <w:sz w:val="28"/>
          <w:szCs w:val="28"/>
        </w:rPr>
        <w:t xml:space="preserve">* Giải thích thuật ngữ: </w:t>
      </w:r>
    </w:p>
    <w:p w:rsidR="00036492" w:rsidRPr="003657D3" w:rsidRDefault="00036492" w:rsidP="00036492">
      <w:pPr>
        <w:spacing w:before="120" w:after="120" w:line="276" w:lineRule="auto"/>
        <w:ind w:firstLine="567"/>
        <w:jc w:val="both"/>
        <w:rPr>
          <w:color w:val="000000"/>
          <w:sz w:val="28"/>
          <w:szCs w:val="28"/>
          <w:lang w:val="vi-VN"/>
        </w:rPr>
      </w:pPr>
      <w:r w:rsidRPr="003657D3">
        <w:rPr>
          <w:color w:val="000000"/>
          <w:sz w:val="28"/>
          <w:szCs w:val="28"/>
        </w:rPr>
        <w:t xml:space="preserve">- Đăng ký giao dịch bảo đảm được hiểu là việc Trung tâm Đăng ký giao dịch, tài sản nhập vào cơ sở dữ liệu về giao dịch bảo đảm việc bên bảo đảm dùng tài sản để bảo đảm thực hiện nghĩa vụ dân sự  đối với bên nhận bảo đảm. Việc đăng ký giao dịch bảo đảm bao gồm đăng ký giao dịch bảo đảm, đăng ký thay đổi nội dung giao dịch bảo đảm đã đăng ký, đăng ký văn bản thông báo về việc xử lý tài sản bảo đảm, xóa đăng ký giao dịch bảo đảm.  </w:t>
      </w:r>
    </w:p>
    <w:p w:rsidR="00036492" w:rsidRPr="003657D3" w:rsidRDefault="00036492" w:rsidP="00036492">
      <w:pPr>
        <w:spacing w:before="120" w:after="120" w:line="276" w:lineRule="auto"/>
        <w:ind w:firstLine="567"/>
        <w:jc w:val="both"/>
        <w:rPr>
          <w:color w:val="000000"/>
          <w:sz w:val="28"/>
          <w:szCs w:val="28"/>
          <w:lang w:val="vi-VN"/>
        </w:rPr>
      </w:pPr>
      <w:r w:rsidRPr="003657D3">
        <w:rPr>
          <w:color w:val="000000"/>
          <w:sz w:val="28"/>
          <w:szCs w:val="28"/>
          <w:lang w:val="vi-VN"/>
        </w:rPr>
        <w:t xml:space="preserve">- Đăng ký hợp đồng được hiểu là việc Trung tâm Đăng ký giao dịch, tài sản </w:t>
      </w:r>
      <w:r w:rsidRPr="003657D3">
        <w:rPr>
          <w:color w:val="000000"/>
          <w:sz w:val="28"/>
          <w:szCs w:val="28"/>
        </w:rPr>
        <w:t>nhập vào cơ sở dữ liệu về giao dịch bảo đảm</w:t>
      </w:r>
      <w:r w:rsidRPr="003657D3">
        <w:rPr>
          <w:color w:val="000000"/>
          <w:sz w:val="28"/>
          <w:szCs w:val="28"/>
          <w:lang w:val="vi-VN"/>
        </w:rPr>
        <w:t xml:space="preserve"> đối với hợp đồng mua trả chậm, trả dần có bảo lưu quyền sở hữu của bên bán; hợp đồng thuê tài sản; hợp đồng cho thuê tài chính và hợp đồng chuyển giao quyền đòi nợ.</w:t>
      </w:r>
      <w:r w:rsidRPr="003657D3">
        <w:rPr>
          <w:color w:val="000000"/>
          <w:sz w:val="28"/>
          <w:szCs w:val="28"/>
        </w:rPr>
        <w:t xml:space="preserve"> Việc đăng ký hợp đồng bao gồm đăng ký hợp đồng, đăng ký thay đổi nội dung hợp đồng đã đăng ký, đăng ký văn bản thông báo về việc xử lý tài sản bảo đảm, xóa đăng ký hợp đồng.</w:t>
      </w:r>
    </w:p>
    <w:p w:rsidR="00036492" w:rsidRPr="003657D3" w:rsidRDefault="00036492" w:rsidP="00036492">
      <w:pPr>
        <w:spacing w:before="120" w:after="120" w:line="276" w:lineRule="auto"/>
        <w:ind w:firstLine="567"/>
        <w:jc w:val="both"/>
        <w:rPr>
          <w:color w:val="000000"/>
          <w:sz w:val="28"/>
          <w:szCs w:val="28"/>
        </w:rPr>
      </w:pPr>
      <w:r w:rsidRPr="003657D3">
        <w:rPr>
          <w:color w:val="000000"/>
          <w:sz w:val="28"/>
          <w:szCs w:val="28"/>
          <w:lang w:val="vi-VN"/>
        </w:rPr>
        <w:t xml:space="preserve">- Thông báo kê biên được hiểu là việc Trung tâm Đăng ký giao dịch, tài sản </w:t>
      </w:r>
      <w:r w:rsidRPr="003657D3">
        <w:rPr>
          <w:color w:val="000000"/>
          <w:sz w:val="28"/>
          <w:szCs w:val="28"/>
        </w:rPr>
        <w:t>nhập vào cơ sở dữ liệu về giao dịch bảo đảm</w:t>
      </w:r>
      <w:r w:rsidRPr="003657D3">
        <w:rPr>
          <w:color w:val="000000"/>
          <w:sz w:val="28"/>
          <w:szCs w:val="28"/>
          <w:lang w:val="vi-VN"/>
        </w:rPr>
        <w:t xml:space="preserve"> </w:t>
      </w:r>
      <w:r w:rsidRPr="003657D3">
        <w:rPr>
          <w:color w:val="000000"/>
          <w:sz w:val="28"/>
          <w:szCs w:val="28"/>
        </w:rPr>
        <w:t xml:space="preserve">đối với </w:t>
      </w:r>
      <w:r w:rsidRPr="003657D3">
        <w:rPr>
          <w:color w:val="000000"/>
          <w:sz w:val="28"/>
          <w:szCs w:val="28"/>
          <w:lang w:val="vi-VN"/>
        </w:rPr>
        <w:t>văn bản thông báo về việc kê biên tài sản</w:t>
      </w:r>
      <w:r w:rsidRPr="005F6020">
        <w:rPr>
          <w:color w:val="000000"/>
          <w:sz w:val="28"/>
          <w:szCs w:val="28"/>
          <w:lang w:val="vi-VN"/>
        </w:rPr>
        <w:t xml:space="preserve"> </w:t>
      </w:r>
      <w:r w:rsidRPr="003657D3">
        <w:rPr>
          <w:color w:val="000000"/>
          <w:sz w:val="28"/>
          <w:szCs w:val="28"/>
          <w:lang w:val="vi-VN"/>
        </w:rPr>
        <w:t xml:space="preserve">thi hành án </w:t>
      </w:r>
      <w:r w:rsidRPr="003657D3">
        <w:rPr>
          <w:color w:val="000000"/>
          <w:sz w:val="28"/>
          <w:szCs w:val="28"/>
        </w:rPr>
        <w:t xml:space="preserve">của </w:t>
      </w:r>
      <w:r w:rsidRPr="003657D3">
        <w:rPr>
          <w:color w:val="000000"/>
          <w:sz w:val="28"/>
          <w:szCs w:val="28"/>
          <w:lang w:val="vi-VN"/>
        </w:rPr>
        <w:t>Chấp hành viên khi ra quyết định kê biên đối với một số loại tài sản theo quy định của pháp luật.</w:t>
      </w:r>
      <w:r w:rsidRPr="003657D3">
        <w:rPr>
          <w:color w:val="000000"/>
          <w:sz w:val="28"/>
          <w:szCs w:val="28"/>
          <w:lang w:val="vi-VN"/>
        </w:rPr>
        <w:tab/>
      </w:r>
      <w:r w:rsidRPr="003657D3">
        <w:rPr>
          <w:color w:val="000000"/>
          <w:sz w:val="28"/>
          <w:szCs w:val="28"/>
        </w:rPr>
        <w:t xml:space="preserve"> </w:t>
      </w:r>
    </w:p>
    <w:p w:rsidR="00036492" w:rsidRPr="003657D3" w:rsidRDefault="00036492" w:rsidP="00036492">
      <w:pPr>
        <w:spacing w:before="120" w:after="120" w:line="320" w:lineRule="exact"/>
        <w:ind w:firstLine="567"/>
        <w:jc w:val="both"/>
        <w:rPr>
          <w:color w:val="000000"/>
          <w:sz w:val="28"/>
          <w:szCs w:val="28"/>
        </w:rPr>
      </w:pPr>
      <w:r w:rsidRPr="003657D3">
        <w:rPr>
          <w:color w:val="000000"/>
          <w:sz w:val="28"/>
          <w:szCs w:val="28"/>
        </w:rPr>
        <w:lastRenderedPageBreak/>
        <w:t>- Thông báo về việc thế chấp phương tiện giao thông là việc Trung tâm Đăng ký giao dịch, tài sản gửi văn bản thông báo về việc thế chấp phương tiện giao thông cho cơ quan đăng ký quyền sở hữu, quyền lưu hành tài sản.</w:t>
      </w:r>
    </w:p>
    <w:p w:rsidR="00036492" w:rsidRPr="003657D3" w:rsidRDefault="00036492" w:rsidP="00036492">
      <w:pPr>
        <w:spacing w:before="120" w:after="120" w:line="320" w:lineRule="exact"/>
        <w:ind w:firstLine="567"/>
        <w:jc w:val="both"/>
        <w:rPr>
          <w:color w:val="000000"/>
          <w:sz w:val="28"/>
          <w:szCs w:val="28"/>
        </w:rPr>
      </w:pPr>
      <w:r w:rsidRPr="003657D3">
        <w:rPr>
          <w:color w:val="000000"/>
          <w:sz w:val="28"/>
          <w:szCs w:val="28"/>
        </w:rPr>
        <w:t>- Thông báo kết quả tiếp nhận, giải quyết thông tin về tài sản bảo đảm là việc cơ quan đăng ký quyền sở hữu, quyền lưu hành tài sản gửi văn bản thông báo kết quả tiếp nhận, giải quyết thông tin về tài sản bảo đảm cho Trung tâm Đăng ký giao dịch, tài sản.</w:t>
      </w:r>
    </w:p>
    <w:p w:rsidR="00036492" w:rsidRPr="003657D3" w:rsidRDefault="00036492" w:rsidP="00036492">
      <w:pPr>
        <w:ind w:firstLine="567"/>
        <w:jc w:val="both"/>
        <w:rPr>
          <w:color w:val="000000"/>
          <w:sz w:val="28"/>
          <w:szCs w:val="28"/>
        </w:rPr>
      </w:pPr>
      <w:r w:rsidRPr="003657D3">
        <w:rPr>
          <w:color w:val="000000"/>
          <w:sz w:val="28"/>
          <w:szCs w:val="28"/>
        </w:rPr>
        <w:t>- C</w:t>
      </w:r>
      <w:r w:rsidRPr="003657D3">
        <w:rPr>
          <w:bCs/>
          <w:color w:val="000000"/>
          <w:sz w:val="28"/>
          <w:szCs w:val="28"/>
        </w:rPr>
        <w:t xml:space="preserve">ác </w:t>
      </w:r>
      <w:r w:rsidRPr="003657D3">
        <w:rPr>
          <w:color w:val="000000"/>
          <w:sz w:val="28"/>
          <w:szCs w:val="28"/>
        </w:rPr>
        <w:t>trường hợp không phải nộp lệ phí đăng ký giao dịch bảo đảm được thực hiện theo quy định của Nghị định số 55/2015/NĐ-CP ngày 09/6/2015 về chính sách tín dụng phục vụ phát triển nông nghiệp, nông thôn và Thông tư liên tịch số 69/2011/TTLT-BTC-BTP ngày 18/5/2011 h</w:t>
      </w:r>
      <w:r w:rsidRPr="003657D3">
        <w:rPr>
          <w:bCs/>
          <w:color w:val="000000"/>
          <w:sz w:val="28"/>
          <w:szCs w:val="28"/>
          <w:lang w:val="nl-NL"/>
        </w:rPr>
        <w:t>ướng dẫn chế độ thu, nộp, quản lý và sử dụng lệ phí đăng ký giao dịch bảo đảm, phí cung cấp thông tin về giao dịch bảo đảm và phí sử dụng dịch vụ khách hàng thường xuyên.</w:t>
      </w:r>
    </w:p>
    <w:p w:rsidR="00036492" w:rsidRDefault="00036492" w:rsidP="00036492">
      <w:pPr>
        <w:spacing w:before="120" w:after="120" w:line="276" w:lineRule="auto"/>
        <w:ind w:firstLine="567"/>
        <w:jc w:val="both"/>
        <w:rPr>
          <w:b/>
          <w:sz w:val="28"/>
          <w:szCs w:val="28"/>
        </w:rPr>
      </w:pPr>
    </w:p>
    <w:p w:rsidR="00036492" w:rsidRPr="00642A85" w:rsidRDefault="00036492" w:rsidP="00036492">
      <w:pPr>
        <w:spacing w:before="120" w:after="120" w:line="276" w:lineRule="auto"/>
        <w:ind w:firstLine="567"/>
        <w:jc w:val="both"/>
        <w:rPr>
          <w:b/>
          <w:sz w:val="28"/>
          <w:szCs w:val="28"/>
          <w:lang w:val="vi-VN"/>
        </w:rPr>
      </w:pPr>
      <w:r w:rsidRPr="00642A85">
        <w:rPr>
          <w:b/>
          <w:sz w:val="28"/>
          <w:szCs w:val="28"/>
          <w:lang w:val="vi-VN"/>
        </w:rPr>
        <w:t>2. Phương pháp tính</w:t>
      </w:r>
    </w:p>
    <w:p w:rsidR="00036492" w:rsidRDefault="00036492" w:rsidP="00036492">
      <w:pPr>
        <w:spacing w:before="120" w:after="120" w:line="276" w:lineRule="auto"/>
        <w:ind w:firstLine="567"/>
        <w:jc w:val="both"/>
        <w:rPr>
          <w:sz w:val="28"/>
          <w:szCs w:val="28"/>
        </w:rPr>
      </w:pPr>
      <w:r w:rsidRPr="00642A85">
        <w:rPr>
          <w:b/>
          <w:sz w:val="28"/>
          <w:szCs w:val="28"/>
          <w:lang w:val="vi-VN"/>
        </w:rPr>
        <w:t xml:space="preserve">- </w:t>
      </w:r>
      <w:r w:rsidRPr="00642A85">
        <w:rPr>
          <w:sz w:val="28"/>
          <w:szCs w:val="28"/>
          <w:lang w:val="vi-VN"/>
        </w:rPr>
        <w:t>Cột 1 = Cột (2+3+4+5)</w:t>
      </w:r>
      <w:r>
        <w:rPr>
          <w:sz w:val="28"/>
          <w:szCs w:val="28"/>
        </w:rPr>
        <w:t>.</w:t>
      </w:r>
    </w:p>
    <w:p w:rsidR="00036492" w:rsidRDefault="00036492" w:rsidP="00036492">
      <w:pPr>
        <w:spacing w:before="120" w:after="120" w:line="276" w:lineRule="auto"/>
        <w:ind w:firstLine="567"/>
        <w:jc w:val="both"/>
        <w:rPr>
          <w:b/>
          <w:sz w:val="28"/>
          <w:szCs w:val="28"/>
        </w:rPr>
      </w:pPr>
    </w:p>
    <w:p w:rsidR="00036492" w:rsidRPr="00642A85" w:rsidRDefault="00036492" w:rsidP="00036492">
      <w:pPr>
        <w:spacing w:before="120" w:after="120" w:line="276" w:lineRule="auto"/>
        <w:ind w:firstLine="567"/>
        <w:jc w:val="both"/>
        <w:rPr>
          <w:b/>
          <w:sz w:val="28"/>
          <w:szCs w:val="28"/>
          <w:lang w:val="vi-VN"/>
        </w:rPr>
      </w:pPr>
      <w:r w:rsidRPr="00642A85">
        <w:rPr>
          <w:b/>
          <w:sz w:val="28"/>
          <w:szCs w:val="28"/>
          <w:lang w:val="vi-VN"/>
        </w:rPr>
        <w:t>3. Nguồn số liệu</w:t>
      </w:r>
    </w:p>
    <w:p w:rsidR="00036492" w:rsidRDefault="00036492" w:rsidP="00036492">
      <w:pPr>
        <w:spacing w:before="120" w:after="120" w:line="276" w:lineRule="auto"/>
        <w:ind w:firstLine="567"/>
        <w:jc w:val="both"/>
        <w:rPr>
          <w:sz w:val="28"/>
          <w:szCs w:val="28"/>
        </w:rPr>
      </w:pPr>
      <w:r w:rsidRPr="00642A85">
        <w:rPr>
          <w:sz w:val="28"/>
          <w:szCs w:val="28"/>
          <w:lang w:val="vi-VN"/>
        </w:rPr>
        <w:t>Từ sổ sách ghi chép ban đầu hoặc từ cơ sở dữ liệu điện tử về giao dịch bảo đảm bằng động sản, trừ tàu bay, tàu biển; hợp đồng, thông báo kê biên tài sản thi hành án được đăng ký tại các Trung tâm Đăng ký giao dịch, tài sản của Cục Đăng ký quốc gia giao dịch bảo đảm thuộc Bộ Tư pháp.</w:t>
      </w:r>
    </w:p>
    <w:p w:rsidR="00036492" w:rsidRPr="009C1633" w:rsidRDefault="00036492" w:rsidP="00036492">
      <w:pPr>
        <w:spacing w:before="120" w:after="120" w:line="276" w:lineRule="auto"/>
        <w:ind w:firstLine="567"/>
        <w:jc w:val="both"/>
        <w:rPr>
          <w:sz w:val="28"/>
          <w:szCs w:val="28"/>
        </w:rPr>
      </w:pPr>
      <w:r w:rsidRPr="00D724E8">
        <w:rPr>
          <w:sz w:val="28"/>
          <w:szCs w:val="28"/>
          <w:lang w:val="vi-VN"/>
        </w:rPr>
        <w:t>Từ sổ sách ghi chép ban đầu về kết quả tiếp nhận văn bản yêu cầu thông báo về việc thế chấp phương tiện giao thông trong kỳ báo cáo tại các Trung tâm Đăng ký giao dịch, tài sản thuộc Cục Đăng ký quốc gia giao dịch bảo đảm, Bộ Tư pháp</w:t>
      </w:r>
      <w:r>
        <w:rPr>
          <w:sz w:val="28"/>
          <w:szCs w:val="28"/>
        </w:rPr>
        <w:t>.</w:t>
      </w:r>
    </w:p>
    <w:p w:rsidR="00036492" w:rsidRPr="00D25510" w:rsidRDefault="00036492" w:rsidP="00036492">
      <w:pPr>
        <w:spacing w:before="120" w:after="120" w:line="320" w:lineRule="exact"/>
        <w:ind w:firstLine="567"/>
        <w:jc w:val="both"/>
        <w:rPr>
          <w:sz w:val="28"/>
          <w:szCs w:val="28"/>
          <w:lang w:val="vi-VN"/>
        </w:rPr>
      </w:pPr>
      <w:r w:rsidRPr="00642A85">
        <w:rPr>
          <w:sz w:val="28"/>
          <w:szCs w:val="28"/>
          <w:lang w:val="vi-VN"/>
        </w:rPr>
        <w:t>Từ sổ sách ghi chép ban đầu</w:t>
      </w:r>
      <w:r>
        <w:rPr>
          <w:sz w:val="28"/>
          <w:szCs w:val="28"/>
        </w:rPr>
        <w:t xml:space="preserve"> </w:t>
      </w:r>
      <w:r w:rsidRPr="00D25510">
        <w:rPr>
          <w:sz w:val="28"/>
          <w:szCs w:val="28"/>
          <w:lang w:val="vi-VN"/>
        </w:rPr>
        <w:t>về các trường hợp không phải nộp lệ phí đăng ký giao dịch bảo đảm.</w:t>
      </w:r>
    </w:p>
    <w:p w:rsidR="00036492" w:rsidRPr="008B6DDB" w:rsidRDefault="00036492" w:rsidP="00036492">
      <w:pPr>
        <w:spacing w:before="120" w:after="120" w:line="276" w:lineRule="auto"/>
        <w:ind w:firstLine="567"/>
        <w:jc w:val="both"/>
        <w:rPr>
          <w:sz w:val="28"/>
          <w:szCs w:val="28"/>
        </w:rPr>
      </w:pPr>
    </w:p>
    <w:p w:rsidR="00A6658C" w:rsidRDefault="00A6658C" w:rsidP="00036492">
      <w:bookmarkStart w:id="0" w:name="_GoBack"/>
      <w:bookmarkEnd w:id="0"/>
    </w:p>
    <w:sectPr w:rsidR="00A6658C" w:rsidSect="00036492">
      <w:pgSz w:w="16840" w:h="11907" w:orient="landscape" w:code="9"/>
      <w:pgMar w:top="1701" w:right="964" w:bottom="851" w:left="964" w:header="397" w:footer="397" w:gutter="0"/>
      <w:cols w:space="720"/>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054A7C"/>
    <w:multiLevelType w:val="hybridMultilevel"/>
    <w:tmpl w:val="611CD652"/>
    <w:lvl w:ilvl="0" w:tplc="0409000F">
      <w:start w:val="1"/>
      <w:numFmt w:val="decimal"/>
      <w:lvlText w:val="%1."/>
      <w:lvlJc w:val="left"/>
      <w:pPr>
        <w:ind w:left="720" w:hanging="360"/>
      </w:pPr>
      <w:rPr>
        <w:rFonts w:hint="default"/>
      </w:rPr>
    </w:lvl>
    <w:lvl w:ilvl="1" w:tplc="B6A6889E">
      <w:start w:val="1"/>
      <w:numFmt w:val="lowerLetter"/>
      <w:lvlText w:val="%2."/>
      <w:lvlJc w:val="left"/>
      <w:pPr>
        <w:ind w:left="1440" w:hanging="360"/>
      </w:pPr>
      <w:rPr>
        <w:rFonts w:ascii="Times New Roman" w:eastAsia="Times New Roman" w:hAnsi="Times New Roman" w:cs="Times New Roman"/>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1B24FC0"/>
    <w:multiLevelType w:val="multilevel"/>
    <w:tmpl w:val="627816A2"/>
    <w:lvl w:ilvl="0">
      <w:start w:val="1"/>
      <w:numFmt w:val="decimal"/>
      <w:lvlText w:val="%1."/>
      <w:lvlJc w:val="left"/>
      <w:pPr>
        <w:tabs>
          <w:tab w:val="num" w:pos="720"/>
        </w:tabs>
        <w:ind w:left="720" w:hanging="720"/>
      </w:pPr>
    </w:lvl>
    <w:lvl w:ilvl="1">
      <w:start w:val="1"/>
      <w:numFmt w:val="decimal"/>
      <w:pStyle w:val="Style6"/>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376E33F0"/>
    <w:multiLevelType w:val="hybridMultilevel"/>
    <w:tmpl w:val="86840858"/>
    <w:lvl w:ilvl="0" w:tplc="542A398E">
      <w:start w:val="1"/>
      <w:numFmt w:val="upperRoman"/>
      <w:pStyle w:val="Style1"/>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F6D25E9"/>
    <w:multiLevelType w:val="hybridMultilevel"/>
    <w:tmpl w:val="BBDA1A94"/>
    <w:lvl w:ilvl="0" w:tplc="6E24C84C">
      <w:start w:val="1"/>
      <w:numFmt w:val="upperRoman"/>
      <w:pStyle w:val="Style2"/>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C4C79C1"/>
    <w:multiLevelType w:val="hybridMultilevel"/>
    <w:tmpl w:val="E1AE8D56"/>
    <w:lvl w:ilvl="0" w:tplc="9F52B29E">
      <w:start w:val="1"/>
      <w:numFmt w:val="upperRoman"/>
      <w:pStyle w:val="Vui"/>
      <w:lvlText w:val="Chương %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4"/>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6492"/>
    <w:rsid w:val="00036492"/>
    <w:rsid w:val="005116EA"/>
    <w:rsid w:val="0059118F"/>
    <w:rsid w:val="00A6658C"/>
    <w:rsid w:val="00C21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1EB696-FAC3-4296-B35B-DDF42C189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ajorHAnsi"/>
        <w:b/>
        <w:sz w:val="26"/>
        <w:szCs w:val="24"/>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36492"/>
    <w:pPr>
      <w:spacing w:after="0" w:line="240" w:lineRule="auto"/>
    </w:pPr>
    <w:rPr>
      <w:rFonts w:eastAsia="Times New Roman" w:cs="Times New Roman"/>
      <w:b w:val="0"/>
      <w:sz w:val="24"/>
    </w:rPr>
  </w:style>
  <w:style w:type="paragraph" w:styleId="Heading1">
    <w:name w:val="heading 1"/>
    <w:basedOn w:val="Normal"/>
    <w:next w:val="Normal"/>
    <w:link w:val="Heading1Char"/>
    <w:uiPriority w:val="9"/>
    <w:qFormat/>
    <w:rsid w:val="005116EA"/>
    <w:pPr>
      <w:keepNext/>
      <w:keepLines/>
      <w:spacing w:before="240" w:line="259" w:lineRule="auto"/>
      <w:outlineLvl w:val="0"/>
    </w:pPr>
    <w:rPr>
      <w:rFonts w:asciiTheme="majorHAnsi" w:eastAsiaTheme="majorEastAsia" w:hAnsiTheme="majorHAnsi" w:cstheme="majorBidi"/>
      <w:b/>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6">
    <w:name w:val="Style6"/>
    <w:basedOn w:val="ListParagraph"/>
    <w:link w:val="Style6Char"/>
    <w:qFormat/>
    <w:rsid w:val="005116EA"/>
    <w:pPr>
      <w:numPr>
        <w:ilvl w:val="1"/>
        <w:numId w:val="5"/>
      </w:numPr>
      <w:tabs>
        <w:tab w:val="left" w:pos="900"/>
      </w:tabs>
      <w:spacing w:before="120" w:after="0" w:line="288" w:lineRule="auto"/>
      <w:ind w:hanging="360"/>
      <w:contextualSpacing w:val="0"/>
      <w:jc w:val="both"/>
    </w:pPr>
    <w:rPr>
      <w:rFonts w:eastAsia="Times New Roman"/>
      <w:szCs w:val="26"/>
      <w:lang w:val="x-none" w:eastAsia="x-none"/>
    </w:rPr>
  </w:style>
  <w:style w:type="character" w:customStyle="1" w:styleId="Style6Char">
    <w:name w:val="Style6 Char"/>
    <w:basedOn w:val="DefaultParagraphFont"/>
    <w:link w:val="Style6"/>
    <w:rsid w:val="005116EA"/>
    <w:rPr>
      <w:rFonts w:eastAsia="Times New Roman"/>
      <w:szCs w:val="26"/>
      <w:lang w:val="x-none" w:eastAsia="x-none"/>
    </w:rPr>
  </w:style>
  <w:style w:type="paragraph" w:styleId="ListParagraph">
    <w:name w:val="List Paragraph"/>
    <w:basedOn w:val="Normal"/>
    <w:uiPriority w:val="34"/>
    <w:qFormat/>
    <w:rsid w:val="005116EA"/>
    <w:pPr>
      <w:spacing w:after="160" w:line="259" w:lineRule="auto"/>
      <w:ind w:left="720"/>
      <w:contextualSpacing/>
    </w:pPr>
    <w:rPr>
      <w:rFonts w:eastAsiaTheme="minorHAnsi" w:cstheme="majorHAnsi"/>
      <w:b/>
      <w:sz w:val="26"/>
    </w:rPr>
  </w:style>
  <w:style w:type="paragraph" w:customStyle="1" w:styleId="Vui">
    <w:name w:val="Vui"/>
    <w:basedOn w:val="Heading1"/>
    <w:link w:val="VuiChar"/>
    <w:qFormat/>
    <w:rsid w:val="005116EA"/>
    <w:pPr>
      <w:numPr>
        <w:numId w:val="2"/>
      </w:numPr>
      <w:ind w:left="1080"/>
    </w:pPr>
    <w:rPr>
      <w:sz w:val="28"/>
    </w:rPr>
  </w:style>
  <w:style w:type="character" w:customStyle="1" w:styleId="VuiChar">
    <w:name w:val="Vui Char"/>
    <w:basedOn w:val="Heading1Char"/>
    <w:link w:val="Vui"/>
    <w:rsid w:val="005116EA"/>
    <w:rPr>
      <w:rFonts w:asciiTheme="majorHAnsi" w:eastAsiaTheme="majorEastAsia" w:hAnsiTheme="majorHAnsi" w:cstheme="majorBidi"/>
      <w:color w:val="2E74B5" w:themeColor="accent1" w:themeShade="BF"/>
      <w:sz w:val="28"/>
      <w:szCs w:val="32"/>
    </w:rPr>
  </w:style>
  <w:style w:type="character" w:customStyle="1" w:styleId="Heading1Char">
    <w:name w:val="Heading 1 Char"/>
    <w:basedOn w:val="DefaultParagraphFont"/>
    <w:link w:val="Heading1"/>
    <w:uiPriority w:val="9"/>
    <w:rsid w:val="005116EA"/>
    <w:rPr>
      <w:rFonts w:asciiTheme="majorHAnsi" w:eastAsiaTheme="majorEastAsia" w:hAnsiTheme="majorHAnsi" w:cstheme="majorBidi"/>
      <w:color w:val="2E74B5" w:themeColor="accent1" w:themeShade="BF"/>
      <w:sz w:val="32"/>
      <w:szCs w:val="32"/>
    </w:rPr>
  </w:style>
  <w:style w:type="paragraph" w:customStyle="1" w:styleId="Style1">
    <w:name w:val="Style1"/>
    <w:basedOn w:val="Normal"/>
    <w:link w:val="Style1Char"/>
    <w:qFormat/>
    <w:rsid w:val="005116EA"/>
    <w:pPr>
      <w:numPr>
        <w:numId w:val="3"/>
      </w:numPr>
      <w:spacing w:after="160" w:line="259" w:lineRule="auto"/>
      <w:ind w:left="1080"/>
    </w:pPr>
    <w:rPr>
      <w:rFonts w:asciiTheme="majorHAnsi" w:eastAsiaTheme="majorEastAsia" w:hAnsiTheme="majorHAnsi" w:cstheme="majorBidi"/>
      <w:b/>
      <w:color w:val="2E74B5" w:themeColor="accent1" w:themeShade="BF"/>
      <w:sz w:val="28"/>
      <w:szCs w:val="32"/>
    </w:rPr>
  </w:style>
  <w:style w:type="character" w:customStyle="1" w:styleId="Style1Char">
    <w:name w:val="Style1 Char"/>
    <w:basedOn w:val="VuiChar"/>
    <w:link w:val="Style1"/>
    <w:rsid w:val="005116EA"/>
    <w:rPr>
      <w:rFonts w:asciiTheme="majorHAnsi" w:eastAsiaTheme="majorEastAsia" w:hAnsiTheme="majorHAnsi" w:cstheme="majorBidi"/>
      <w:color w:val="2E74B5" w:themeColor="accent1" w:themeShade="BF"/>
      <w:sz w:val="28"/>
      <w:szCs w:val="32"/>
    </w:rPr>
  </w:style>
  <w:style w:type="paragraph" w:customStyle="1" w:styleId="Style2">
    <w:name w:val="Style2"/>
    <w:basedOn w:val="NoSpacing"/>
    <w:link w:val="Style2Char"/>
    <w:qFormat/>
    <w:rsid w:val="005116EA"/>
    <w:pPr>
      <w:numPr>
        <w:numId w:val="4"/>
      </w:numPr>
    </w:pPr>
    <w:rPr>
      <w:rFonts w:asciiTheme="majorHAnsi" w:eastAsiaTheme="majorEastAsia" w:hAnsiTheme="majorHAnsi" w:cstheme="majorBidi"/>
      <w:color w:val="2E74B5" w:themeColor="accent1" w:themeShade="BF"/>
      <w:sz w:val="28"/>
      <w:szCs w:val="32"/>
    </w:rPr>
  </w:style>
  <w:style w:type="character" w:customStyle="1" w:styleId="Style2Char">
    <w:name w:val="Style2 Char"/>
    <w:basedOn w:val="Style1Char"/>
    <w:link w:val="Style2"/>
    <w:rsid w:val="005116EA"/>
    <w:rPr>
      <w:rFonts w:asciiTheme="majorHAnsi" w:eastAsiaTheme="majorEastAsia" w:hAnsiTheme="majorHAnsi" w:cstheme="majorBidi"/>
      <w:color w:val="2E74B5" w:themeColor="accent1" w:themeShade="BF"/>
      <w:sz w:val="28"/>
      <w:szCs w:val="32"/>
    </w:rPr>
  </w:style>
  <w:style w:type="paragraph" w:styleId="NoSpacing">
    <w:name w:val="No Spacing"/>
    <w:uiPriority w:val="1"/>
    <w:qFormat/>
    <w:rsid w:val="005116EA"/>
    <w:pPr>
      <w:spacing w:after="0" w:line="240" w:lineRule="auto"/>
    </w:pPr>
  </w:style>
  <w:style w:type="paragraph" w:customStyle="1" w:styleId="Style3">
    <w:name w:val="Style3"/>
    <w:basedOn w:val="Normal"/>
    <w:link w:val="Style3Char"/>
    <w:qFormat/>
    <w:rsid w:val="005116EA"/>
    <w:pPr>
      <w:spacing w:after="160" w:line="259" w:lineRule="auto"/>
    </w:pPr>
    <w:rPr>
      <w:rFonts w:eastAsiaTheme="minorHAnsi" w:cstheme="majorHAnsi"/>
      <w:b/>
      <w:sz w:val="26"/>
    </w:rPr>
  </w:style>
  <w:style w:type="character" w:customStyle="1" w:styleId="Style3Char">
    <w:name w:val="Style3 Char"/>
    <w:basedOn w:val="DefaultParagraphFont"/>
    <w:link w:val="Style3"/>
    <w:rsid w:val="005116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E5829C7-03D2-44A3-B9C3-1840F25B3BCB}"/>
</file>

<file path=customXml/itemProps2.xml><?xml version="1.0" encoding="utf-8"?>
<ds:datastoreItem xmlns:ds="http://schemas.openxmlformats.org/officeDocument/2006/customXml" ds:itemID="{5AA207C5-42F0-4C8D-94F3-E579C17996E9}"/>
</file>

<file path=customXml/itemProps3.xml><?xml version="1.0" encoding="utf-8"?>
<ds:datastoreItem xmlns:ds="http://schemas.openxmlformats.org/officeDocument/2006/customXml" ds:itemID="{2126B090-78C6-4D17-B261-4C07FE329BE5}"/>
</file>

<file path=docProps/app.xml><?xml version="1.0" encoding="utf-8"?>
<Properties xmlns="http://schemas.openxmlformats.org/officeDocument/2006/extended-properties" xmlns:vt="http://schemas.openxmlformats.org/officeDocument/2006/docPropsVTypes">
  <Template>Normal</Template>
  <TotalTime>0</TotalTime>
  <Pages>2</Pages>
  <Words>534</Words>
  <Characters>3044</Characters>
  <Application>Microsoft Office Word</Application>
  <DocSecurity>0</DocSecurity>
  <Lines>25</Lines>
  <Paragraphs>7</Paragraphs>
  <ScaleCrop>false</ScaleCrop>
  <Company/>
  <LinksUpToDate>false</LinksUpToDate>
  <CharactersWithSpaces>3571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vui</dc:creator>
  <cp:keywords/>
  <dc:description/>
  <cp:lastModifiedBy>vui</cp:lastModifiedBy>
  <cp:revision>1</cp:revision>
  <dcterms:created xsi:type="dcterms:W3CDTF">2016-05-06T11:19:00Z</dcterms:created>
  <dcterms:modified xsi:type="dcterms:W3CDTF">2016-05-06T11:19:00Z</dcterms:modified>
</cp:coreProperties>
</file>